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207</w:t>
      </w:r>
    </w:p>
    <w:p>
      <w:r>
        <w:t>Bundesgericht (BGE), 2001-01-19, FR</w:t>
      </w:r>
    </w:p>
    <w:p>
      <w:r>
        <w:rPr>
          <w:b/>
        </w:rPr>
        <w:t xml:space="preserve">Quelle: </w:t>
      </w:r>
      <w:r>
        <w:t>https://mcp.opencaselaw.ch/entscheid/bge_127 III 207</w:t>
      </w:r>
    </w:p>
    <w:p>
      <w:r>
        <w:t>FR: ATF 127 III 207</w:t>
      </w:r>
    </w:p>
    <w:p>
      <w:r>
        <w:t>IT: DTF 127 III 207</w:t>
      </w:r>
    </w:p>
    <w:p>
      <w:pPr>
        <w:pStyle w:val="Heading2"/>
      </w:pPr>
      <w:r>
        <w:t>Regeste</w:t>
      </w:r>
    </w:p>
    <w:p>
      <w:r>
        <w:t>Regeste Art. 8 Abs. 3 BV und Art. 3 GlG; Recht der Arbeitnehmerinnen und Arbeitnehmer auf gleichen Lohn für gleichwertige Arbeit. Macht die Person, die sich auf eine Geschlechterdiskriminierung im Arbeitsverhältnis beruft, diese glaubhaft, wird gemäss Art. 6 GlG die Beweislast umgekehrt mit der Folge, dass der Arbeitgeber das Fehlen einer geschlechtsspezifischen Diskriminierung zu beweisen hat (E. 3). Das Verbot jeglicher Diskriminierung aufgrund des Geschlechts gilt absolut (E. 4, 5b und 5c). Begriff des objektiven Grundes, der eine lohnmässige Ungleichheit zwischen Männern und Frauen zu rechtfertigen vermag (E. 5a). Im vorliegenden Fall steht einem Vergleich zwischen den Aufgaben der Arbeitnehmerinnen und der Arbeitnehmer nichts entgegen (E. 5d, 5e und 5f). Bejahung der Glaubhaftmachung einer geschlechtsspezifischen Diskriminierung anlässlich von Beförderungen im Unternehmen (E. 6). Tragweite der Sachverhaltsfeststellung von Amtes wegen durch das Gericht gemäss Art. 12 Abs. 2 GlG (E. 7 und 8).</w:t>
      </w:r>
    </w:p>
    <w:p>
      <w:pPr>
        <w:pStyle w:val="Heading2"/>
      </w:pPr>
      <w:r>
        <w:t>Erwägungen</w:t>
      </w:r>
    </w:p>
    <w:p>
      <w:r>
        <w:rPr>
          <w:b/>
        </w:rPr>
        <w:t>E. 3</w:t>
      </w:r>
    </w:p>
    <w:p>
      <w:r>
        <w:t>a) Selon la cour cantonale, l' art. 6 LEg ne prévoit qu'un simple allégement du fardeau de la preuve d'un comportement discriminatoire et non un renversement complet dudit fardeau en vertu duquel la vraisemblance d'une différence de traitement en matière de salaire ou de promotion emporterait également la présomption de sa nature sexiste. Les magistrats vaudois ont alors admis que le caractère sexiste de la politique du défendeur en matière de rémunération et de promotion n'était pas établi, ni même rendu vraisemblable. Pour la demanderesse, l' art. 6 LEg impose au juge, dans un premier temps, de rechercher si la discrimination a été rendue vraisemblable par le travailleur, puis, à supposer que cela soit le cas, de vérifier si l'employeur a apporté la preuve que la différence de salaire ne repose pas sur le sexe mais sur des critères objectifs. La recourante soutient qu'elle a pleinement satisfait aux exigences de la disposition précitée relatives à la vraisemblance de la discrimination invoquée. b) Aux termes de l' art. 6 LEg in initio, l'existence d'une discrimination est présumée pour autant que la personne qui s'en prévaut la rende vraisemblable. Cette disposition allège le fardeau de la preuve d'une discrimination à raison du sexe, en ce sens qu'il suffit BGE 127 III 207 S. 213 à la partie demanderesse de rendre vraisemblable l'existence d'une telle discrimination. Si celle-ci y parvient, le fardeau de la preuve est renversé; il appartient alors à l'employeur d'établir l'inexistence de la discrimination (Message du Conseil fédéral concernant la loi fédérale sur l'égalité entre femmes et hommes, du 24 février 1993, in: FF 1993 I 1215/1216; SABINE STEIGER-SACKMANN, in: Kommentar zum Gleichstellungsgesetz, Bâle 1997, n. 57, 58 et 64 ad art. 6 LEg ). L'autorité cantonale méconnaît cette disposition lorsqu'elle affirme qu'il ne suffit pas, pour que le fardeau de la preuve soit renversé, que la partie demanderesse établisse une différence de traitement en matière de salaire ou de promotion avec un travailleur de l'autre sexe. Certes, l'existence d'une différence de salaire entre n'importe quels travailleurs ne fait pas apparaître comme probable une discrimination en raison du sexe. En revanche,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 ATF 125 III 368 consid. 4 p. 372; ATF 125 II 541 consid. 6a/6b p. 550 s.; ATF 125 I 71 consid. 4a p. 82 qui renvoie à l' ATF 118 Ia 35 où était déduit directement de l' art. 4 al. 2 aCst. le devoir d'examen minimal auquel le juge doit procéder en la matière). Si l'employeur ne réussit pas à rapporter cette preuve, l'action de la partie demanderesse doit être accueillie, sans que doive encore être établie l'existence dans l'entreprise d'une politique du personnel sexiste, comme l'a retenu à tort la Cour civile. c)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 ATF 125 III 368 consid. 3 p. 371 et les arrêts cités).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 rôle pour l'exercice de l'activité en cause (cf. ATF 117 Ia 270 consid. 4a p. 276) soit encore qu'il n'exerce une influence sur l'évaluation des prestations de travail que dans des cas isolés ( ATF 125 III 368 ibidem). BGE 127 III 207 S. 214 La jurisprudence considère comme non discriminatoires les différences de salaire qui reposent sur des motifs objectifs. Parmi ceux-ci figurent d'abord les motifs qui peuvent influencer la valeur même du travail, comme la formation, l'ancienneté, la qualification, l'expérience, le domaine concret d'activité, les prestations et les risques encourus ( ATF 125 III 368 consid. 5 p. 373; ATF 124 II 409 consid. 9c p. 428, 436 consid. 7a p. 441 et les références). En outre, des différences de salaire peuvent se justifier pour des motifs qui ne se rapportent pas immédiatement à l'activité de la travailleuse ou du travailleur, mais qui découlent de préoccupations sociales, comme les charges familiales ou l'âge ( ATF 125 III 368 consid. 5 p. 373; ATF 118 Ia 35 consid. 2c p. 37 ss; ATF 117 Ia 270 consid. 4a p. 276). En règle générale, des motifs objectifs ne peuvent légitimer une différence de rémunération que s'ils jouent un rôle véritablement important en regard de la prestation de travail et s'ils influent par conséquent sur les salaires versés par le même employeur ( ATF 125 III 368 consid. 5 p. 374). En instance de réforme, le Tribunal fédéral examine librement si les critères en vertu desquels l'employeur apprécie les prestations de travail et détermine les salaires constituent une discrimination directe ou indirecte fondée sur le sexe. Entre également dans son pouvoir d'examen la question de savoir si l'autorité cantonale a respecté les exigences spécifiques découlant du droit fédéral quant à la constatation des faits ainsi que les dispositions fédérales en matière de preuve, singulièrement celles prévues aux art. 6 LEg et, en relation avec l' art. 343 CO , 12 LEg ( ATF 125 III 368 consid. 3 p. 372). Il y a lieu de vérifier, à la lumière des principes qui précèdent, si la demanderesse a suffisamment rendu vraisemblable que le défendeur traitait inégalement ses collaborateurs selon leur sexe.</w:t>
      </w:r>
    </w:p>
    <w:p>
      <w:r>
        <w:rPr>
          <w:b/>
        </w:rPr>
        <w:t>E. 4</w:t>
      </w:r>
    </w:p>
    <w:p>
      <w:r>
        <w:t>a) D'après la cour cantonale, la vraisemblance d'une différence de traitement en matière de salaire n'emporterait pas la présomption de sa nature sexiste lorsque l'employée se trouve sous-payée dans une mesure semblable par rapport à ses collègues aussi bien masculins que féminins. b) L'interdiction de la discrimination au sens posé par la LEg ne s'applique qu'aux différences de traitement entre travailleurs, d'une part, et travailleuses, d'autre part. Elle ne s'oppose pas à des discriminations entre hommes ou entre femmes ( ATF 125 I 71 consid. 4d/aa; ATF 118 Ia 35 consid. 2c p. 38; ATF 113 Ia 107 consid. 4a p. 116). Cependant, l'interdiction de discrimination entre hommes et femmes est inconditionnelle. Quoi qu'en pense la cour cantonale, ni la BGE 127 III 207 S. 215 Constitution fédérale ni la loi fédérale sur l'égalité ne subordonnent son application à la condition que l'employeur ne discrimine pas entre hommes ou entre femmes. Une telle condition, invoquée par les juges précédents, ne trouve aucun appui dans le texte même des art. 8 al. 3 Cst. ou 3 LEg. Cette manière de voir est de plus contraire aux objectifs visés par le constituant et le législateur, car, si l'on suivait la Cour civile, il suffirait à un employeur de pratiquer des discriminations entre hommes ou entre femmes pour s'exonérer de toute interdiction de discrimination à raison du sexe des travailleurs. Un tel résultat ne saurait être admis, sauf à justifier la discrimination par la discrimination. Il faut donc s'en tenir au principe que l'homme et la femme ont droit à un salaire égal pour un travail de valeur égale, sous réserve seulement de l'existence d'un motif objectif justifiant une différence de traitement. Pour s'être écartée de ce principe, la cour cantonale a violé le droit fédéral.</w:t>
      </w:r>
    </w:p>
    <w:p>
      <w:r>
        <w:rPr>
          <w:b/>
        </w:rPr>
        <w:t>E. 5</w:t>
      </w:r>
    </w:p>
    <w:p>
      <w:r>
        <w:t>a) L'autorité cantonale voit un motif objectif d'inégalité de traitement dans la politique salariale suivie par le défendeur, laquelle défavoriserait les personnes des deux sexes engagées jeunes, peu après la fin de leurs études, alors qu'elles n'ont pas encore acquis d'expérience pratique de la vie économique, en particulier des marchés étrangers. Un tel écart de salaire à l'engagement tendrait à se perpétuer, voire à augmenter en chiffres absolus, avec l'ancienneté et la compensation du renchérissement. De l'avis des magistrats vaudois, l'évolution du salaire de la demanderesse pendant la période de 1988 à 1992 s'inscrit dans cette politique. Celle-ci a en effet été engagée en 1978 pour un salaire modeste, en tant que jeune universitaire sans expérience; le directeur de X. lui avait d'ailleurs confirmé, le 9 juin 1991, être absolument conscient que son salaire se situait au bas de l'échelle. Comme on l'a vu, le critère invoqué à l'appui d'une différence de rémunération doit jouer un rôle pour l'exercice de l'activité en cause ( ATF 125 III 368 consid. 3 p. 371; ATF 117 Ia 270 consid. 4a p. 276, où il est considéré comme douteux qu'une formation plus avancée légitime d'une façon générale un salaire plus élevé). Ainsi, sitôt qu'une différence de traitement est rendue vraisemblable et que l'employeur la justifie au motif que l'intéressée a été engagée jeune, il lui incombe d'établir quel rôle l'expérience joue pour l'exercice de l'activité en cause, en démontrant la valeur qu'il lui attribue et les raisons pour lesquelles l'expérience acquise au sein de l'entreprise ne vaut pas celle acquise à l'extérieur. Une telle démarche s'impose d'autant plus lorsque la salariée, comme en BGE 127 III 207 S. 216 l'espèce, a une longue ancienneté dans l'entreprise (plus de dix ans au moment où elle s'est plainte de discrimination à raison du sexe), que ses responsabilités se sont accrues au fil du temps et que, selon la politique salariale de l'employeur, les écarts de rémunération tendent à augmenter en chiffres absolus avec les années qui passent. La cour cantonale a donc méconnu la notion, posée par la jurisprudence fédérale, de motif objectif propre à justifier une disparité de traitement. b) La Cour civile nie que la demanderesse ait été moins bien traitée que ses collègues masculins en faisant valoir qu'elle a bénéficié d'une progression salariale proportionnellement supérieure à celle desdits collègues pendant la période considérée. En outre, l'écart entre le salaire auquel aurait pu prétendre la demanderesse selon l'expert hors procès H. et celui qu'elle a effectivement touché a eu tendance à se réduire sensiblement au cours de cette période. L'autorité cantonale croit ainsi pouvoir exonérer le défendeur de toute violation de l' art. 3 LEg non pas parce qu'elle n'aurait pas constaté de disparité de traitement, ni parce qu'une disparité de traitement - supposée établie - serait justifiée par un motif objectif étranger au sexe, mais parce que l'employeur n'a pas eu l'intention d'opérer des discriminations à raison du sexe. Mais l'interdiction de la discrimination fondée sur le sexe s'applique aussi bien aux discriminations non intentionnelles qu'aux discriminations intentionnelles (Message du Conseil fédéral concernant la loi fédérale sur l'égalité entre femmes et hommes, du 24 février 1993, in: FF 1993 I 1212; ATF 113 Ia 107 consid. 4a p. 116; MONIQUE COSSALI SAUVAIN, La loi fédérale sur l'égalité entre femmes et hommes, in: Le droit du travail en pratique, vol. 15, Journée 1995 de droit du travail et de la sécurité sociale, p. 64; ELISABETH FREIVOGEL, in: Commentaire de la loi sur l'égalité, Lausanne 2000, n. 4 ad art. 3 LEg ). Peu importe donc que le défendeur ait eu ou non l'intention d'adopter une politique salariale sexiste. Au demeurant, la question à résoudre est de savoir si les rémunérations sont en elles-mêmes discriminatoires et non pas si leur évolution doit être considérée comme telle. c) Selon la cour cantonale, seul le sieur B., du siège de Zurich, a vu son salaire progresser en pourcentage comme celui de la demanderesse, alors que, par rapport aux autres, le salaire de cette dernière a augmenté plus rapidement. A lire le rapport de l'expert C., B. aurait toutefois été favorisé indûment par rapport à ses collègues, "ce qui n'enfrein(drait) aucune prohibition, à l'inverse d'une discrimination BGE 127 III 207 S. 217 au sens de l' art. 3 LEg ". B. a en outre bénéficié de deux promotions successives qui expliquent, au moins partiellement, la progression de son salaire. Quoi qu'en pense la Cour civile, le fait qu'un travailleur ait été indûment favorisé par comparaison avec une travailleuse ne saurait exclure l'existence d'une discrimination. Au contraire, une telle situation est précisément constitutive de discrimination au sens de l' art. 3 LEg . d) Pour l'autorité cantonale, le défendeur est une entreprise de taille moyenne, où l'évaluation des fonctions est problématique. Le fait qu'une entreprise soit petite n'empêche pas de comparer des activités pour déterminer si elles sont de valeur égale. Cet élément ne saurait dispenser le juge d'établir d'office tous les faits pertinents à cet égard. e) D'après la cour cantonale, une des difficultés du dossier résulterait du fait que l'activité de la demanderesse n'est pas typiquement féminine. On ne saurait comprendre la Cour civile. C'est précisément lorsqu'une activité est typiquement féminine que la comparaison avec les travaux accomplis par des hommes se révèle plus difficile (cf. ELISABETH FREIVOGEL, op. cit., n. 115 ad art. 3 LEg ). f) La cour cantonale est d'avis qu'il n'y aurait, en l'espèce, aucune comparaison possible avec d'autres femmes. Cette circonstance est sans pertinence. En effet, la discrimination invoquée est une discrimination à raison du sexe, dans le cadre d'une comparaison avec le travail accompli par d'autres hommes. Peu importe qu'il soit difficile de déterminer si d'autres femmes ont été victimes de la discrimination alléguée.</w:t>
      </w:r>
    </w:p>
    <w:p>
      <w:r>
        <w:rPr>
          <w:b/>
        </w:rPr>
        <w:t>E. 6</w:t>
      </w:r>
    </w:p>
    <w:p>
      <w:r>
        <w:t>La demanderesse se plaint d'une discrimination en matière de promotion; à ses yeux, elle aurait dû être promue de la fonction de "délégué" au poste de chef d'une unité régionale, comme l'ont été tous ses collègues en juin 1991, exception faite de A. qui a quitté X. pendant l'été 1991. En l'occurrence, il est incontesté que les prestations de travail de la demanderesse ont donné entière satisfaction au défendeur. Or, malgré cela, la recourante, qui était le seul "délégué" de sexe féminin et qui disposait au surplus de la meilleure formation - premier critère, selon le défendeur, à prendre en compte pour fixer le salaire - est la seule personne, parmi toutes celles qui entraient en considération, à n'avoir pas reçu de fonction dirigeante. Il appert ainsi que la demanderesse a rendu suffisamment vraisemblable qu'elle BGE 127 III 207 S. 218 a été victime d'une discrimination fondée sur le sexe lors des promotions de juin 1991 (cf. art. 3 al. 2 LEg ), ce qui renverse le fardeau de la preuve sur ce point ( art. 6 LEg ).</w:t>
      </w:r>
    </w:p>
    <w:p>
      <w:r>
        <w:rPr>
          <w:b/>
        </w:rPr>
        <w:t>E. 7</w:t>
      </w:r>
    </w:p>
    <w:p>
      <w:r>
        <w:t>La demanderesse prétend que la cour cantonale a violé les art. 12 al. 2 LEg et 343 al. 4 CO en établissant les faits de manière incomplète, notamment en écartant la requête qu'elle avait formée le 10 juin 1997, tendant à l'établissement d'un seul et unique tableau consolidé des salaires versés à chaque collaborateur mentionné dans le rapport d'expertise avec son titre et, le cas échéant, avec l'évolution de son titre pendant la période considérée; à la production des classeurs fédéraux contenant la correspondance de la demanderesse en relation avec les foires à l'étranger; à la production des textes d'entretiens de qualification, des cahiers des charges officiels et des preuves d'actions effectivement réalisées à l'étranger par ses collègues. Comme l'autorité cantonale a nié qu'il y ait eu disparité de traitement entre la demanderesse et d'autres collaborateurs du défendeur, le Tribunal fédéral ne saurait, à ce stade, dire quelles mesures d'instruction précises la Cour civile aurait dû prendre pour chiffrer l'étendue des disparités salariales que la demanderesse a rendues vraisemblables. Il y a toutefois lieu de rappeler que, selon les art. 12 al. 2 LEg et 343 al. 4 CO, le juge établit les faits d'office. Cette obligation s'étend aussi bien à la constatation de la vraisemblance de la discrimination (le risque de la preuve incombant à la demanderesse) qu'à l'établissement d'un motif justificatif étranger au sexe (le risque de la preuve incombant au défendeur). La cour cantonale devra donc, selon les formes de la procédure cantonale, ordonner la production de tous les moyens de preuve lui permettant de remplir la tâche ainsi définie.</w:t>
      </w:r>
    </w:p>
    <w:p>
      <w:r>
        <w:rPr>
          <w:b/>
        </w:rPr>
        <w:t>E. 8</w:t>
      </w:r>
    </w:p>
    <w:p>
      <w:r>
        <w:t>En définitive, les motifs retenus par l'autorité cantonale pour nier d'emblée la vraisemblance d'une discrimination sont contraires au droit fédéral. Il y a donc lieu d'admettre partiellement le recours, d'annuler le jugement attaqué et de renvoyer la cause à cette juridiction, pour qu'elle établisse si la demanderesse a été victime d'une disparité de traitement qui ne serait pas justifiée par des motifs étrangers au sexe ( art. 64 al. 1 OJ ). Dans le jugement qu'elle rendra, l'autorité cantonale, établissant les faits d'office, procédera à toutes les constatations nécessaires quant aux tâches effectuées par la demanderesse et par les autres employés du défendeur, quant à la complexité des tâches en question, quant à l'accomplissement par les intéressés d'autres tâches administratives ou organisationnelles BGE 127 III 207 S. 219 accessoires (par ex. suppléances, foires, délégations), quant à la rémunération de ces travailleurs, quant à la valeur de leur travail et, le cas échéant, quant aux motifs objectifs propres à justifier une disparité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